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66C62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AA1650" w:rsidRPr="00AA1650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104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66C62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AA1650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01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66C62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066C62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1369E">
        <w:rPr>
          <w:rFonts w:ascii="Times New Roman" w:hAnsi="Times New Roman"/>
          <w:color w:val="000000"/>
          <w:sz w:val="26"/>
          <w:szCs w:val="26"/>
        </w:rPr>
        <w:t>1</w:t>
      </w:r>
      <w:r w:rsidR="005C6CBA">
        <w:rPr>
          <w:rFonts w:ascii="Times New Roman" w:hAnsi="Times New Roman"/>
          <w:color w:val="000000"/>
          <w:sz w:val="26"/>
          <w:szCs w:val="26"/>
        </w:rPr>
        <w:t>9</w:t>
      </w:r>
      <w:r w:rsidR="008F7DF3"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E55316">
        <w:rPr>
          <w:rFonts w:ascii="Times New Roman" w:hAnsi="Times New Roman"/>
          <w:color w:val="000000"/>
          <w:sz w:val="26"/>
          <w:szCs w:val="26"/>
        </w:rPr>
        <w:t>2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66C62">
        <w:rPr>
          <w:rFonts w:ascii="Times New Roman" w:hAnsi="Times New Roman"/>
          <w:color w:val="000000"/>
          <w:sz w:val="26"/>
          <w:szCs w:val="26"/>
        </w:rPr>
        <w:t>г.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0013F">
        <w:rPr>
          <w:rFonts w:ascii="Times New Roman" w:hAnsi="Times New Roman"/>
          <w:color w:val="000000"/>
          <w:sz w:val="26"/>
          <w:szCs w:val="26"/>
        </w:rPr>
        <w:t>1</w:t>
      </w:r>
      <w:r w:rsidR="005C6CBA">
        <w:rPr>
          <w:rFonts w:ascii="Times New Roman" w:hAnsi="Times New Roman"/>
          <w:color w:val="000000"/>
          <w:sz w:val="26"/>
          <w:szCs w:val="26"/>
        </w:rPr>
        <w:t>94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5C6CBA" w:rsidRPr="005C6CB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104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5C6CBA" w:rsidRPr="005C6CB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104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C6CBA">
        <w:rPr>
          <w:rFonts w:ascii="Times New Roman" w:hAnsi="Times New Roman"/>
          <w:color w:val="000000"/>
          <w:sz w:val="26"/>
          <w:szCs w:val="26"/>
        </w:rPr>
        <w:t>01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5C6CBA">
        <w:rPr>
          <w:rFonts w:ascii="Times New Roman" w:hAnsi="Times New Roman"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66C6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66C62">
        <w:rPr>
          <w:rFonts w:ascii="Times New Roman" w:hAnsi="Times New Roman"/>
          <w:color w:val="000000"/>
          <w:sz w:val="26"/>
          <w:szCs w:val="26"/>
        </w:rPr>
        <w:t>№</w:t>
      </w:r>
      <w:r w:rsidR="005C6CBA">
        <w:rPr>
          <w:rFonts w:ascii="Times New Roman" w:hAnsi="Times New Roman"/>
          <w:color w:val="000000"/>
          <w:sz w:val="26"/>
          <w:szCs w:val="26"/>
        </w:rPr>
        <w:t>444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 w:rsidRPr="00066C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066C62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66C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B872C8" w:rsidRDefault="005C6CB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5C6CBA">
        <w:rPr>
          <w:rFonts w:ascii="Times New Roman" w:hAnsi="Times New Roman"/>
          <w:bCs/>
          <w:sz w:val="26"/>
          <w:szCs w:val="26"/>
        </w:rPr>
        <w:t>Предоставить Горбатковой Татьяне Анатольевне и Горбаткову Евгению Вячеславьевичу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Железнодорожной, 104 г. Майкопа на расстоянии 0,9 м от границы земельного участка по ул. Железнодорожной, 106 г. Майкопа.</w:t>
      </w:r>
    </w:p>
    <w:p w:rsidR="002F34DC" w:rsidRDefault="002F34D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006F6" w:rsidRDefault="009006F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6CBA" w:rsidRPr="00851F4E" w:rsidRDefault="005C6CB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066C62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Член Комиссии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Л.К. Каракян</w:t>
      </w: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5C6CBA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01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3</w:t>
      </w:r>
      <w:bookmarkStart w:id="0" w:name="_GoBack"/>
      <w:bookmarkEnd w:id="0"/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054F"/>
    <w:rsid w:val="0027795E"/>
    <w:rsid w:val="00280F24"/>
    <w:rsid w:val="002C562D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265</cp:revision>
  <cp:lastPrinted>2019-02-25T08:13:00Z</cp:lastPrinted>
  <dcterms:created xsi:type="dcterms:W3CDTF">2018-07-23T09:07:00Z</dcterms:created>
  <dcterms:modified xsi:type="dcterms:W3CDTF">2019-03-01T09:47:00Z</dcterms:modified>
</cp:coreProperties>
</file>